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1896" w14:textId="77777777" w:rsidR="00053C5F" w:rsidRPr="00547F8D" w:rsidRDefault="00053C5F">
      <w:pPr>
        <w:pStyle w:val="Title"/>
        <w:rPr>
          <w:rFonts w:ascii="Calibri" w:hAnsi="Calibri" w:cs="Calibri"/>
          <w:caps/>
          <w:sz w:val="22"/>
          <w:szCs w:val="22"/>
        </w:rPr>
      </w:pPr>
      <w:r w:rsidRPr="00547F8D">
        <w:rPr>
          <w:rFonts w:ascii="Calibri" w:hAnsi="Calibri" w:cs="Calibri"/>
          <w:caps/>
          <w:sz w:val="22"/>
          <w:szCs w:val="22"/>
        </w:rPr>
        <w:t>City of Port Townsend</w:t>
      </w:r>
    </w:p>
    <w:p w14:paraId="30BB08D4" w14:textId="4E4F6FC7" w:rsidR="00053C5F" w:rsidRPr="000912DC" w:rsidRDefault="00053C5F" w:rsidP="000912DC">
      <w:pPr>
        <w:tabs>
          <w:tab w:val="center" w:pos="4680"/>
        </w:tabs>
        <w:jc w:val="center"/>
        <w:rPr>
          <w:rFonts w:ascii="Calibri" w:hAnsi="Calibri" w:cs="Calibri"/>
          <w:b/>
          <w:bCs/>
          <w:sz w:val="22"/>
          <w:szCs w:val="22"/>
        </w:rPr>
      </w:pPr>
      <w:r w:rsidRPr="00547F8D">
        <w:rPr>
          <w:rFonts w:ascii="Calibri" w:hAnsi="Calibri" w:cs="Calibri"/>
          <w:b/>
          <w:bCs/>
          <w:sz w:val="22"/>
          <w:szCs w:val="22"/>
        </w:rPr>
        <w:t xml:space="preserve">NOTICE OF </w:t>
      </w:r>
      <w:r w:rsidR="00707854" w:rsidRPr="00547F8D">
        <w:rPr>
          <w:rFonts w:ascii="Calibri" w:hAnsi="Calibri" w:cs="Calibri"/>
          <w:b/>
          <w:bCs/>
          <w:sz w:val="22"/>
          <w:szCs w:val="22"/>
        </w:rPr>
        <w:t xml:space="preserve">STATE ENVIRONMENTAL POLICY ACT (SEPA) </w:t>
      </w:r>
      <w:r w:rsidR="000B67A4">
        <w:rPr>
          <w:rFonts w:ascii="Calibri" w:hAnsi="Calibri" w:cs="Calibri"/>
          <w:b/>
          <w:bCs/>
          <w:sz w:val="22"/>
          <w:szCs w:val="22"/>
        </w:rPr>
        <w:t xml:space="preserve">MITIGATED </w:t>
      </w:r>
      <w:r w:rsidR="00707854" w:rsidRPr="00547F8D">
        <w:rPr>
          <w:rFonts w:ascii="Calibri" w:hAnsi="Calibri" w:cs="Calibri"/>
          <w:b/>
          <w:bCs/>
          <w:sz w:val="22"/>
          <w:szCs w:val="22"/>
        </w:rPr>
        <w:t>DETERMINATION</w:t>
      </w:r>
      <w:r w:rsidR="00452ACC" w:rsidRPr="00547F8D">
        <w:rPr>
          <w:rFonts w:ascii="Calibri" w:hAnsi="Calibri" w:cs="Calibri"/>
          <w:b/>
          <w:bCs/>
          <w:sz w:val="22"/>
          <w:szCs w:val="22"/>
        </w:rPr>
        <w:t xml:space="preserve"> OF NONSIGNIFICANCE (</w:t>
      </w:r>
      <w:r w:rsidR="000B67A4">
        <w:rPr>
          <w:rFonts w:ascii="Calibri" w:hAnsi="Calibri" w:cs="Calibri"/>
          <w:b/>
          <w:bCs/>
          <w:sz w:val="22"/>
          <w:szCs w:val="22"/>
        </w:rPr>
        <w:t>M</w:t>
      </w:r>
      <w:r w:rsidR="00452ACC" w:rsidRPr="00547F8D">
        <w:rPr>
          <w:rFonts w:ascii="Calibri" w:hAnsi="Calibri" w:cs="Calibri"/>
          <w:b/>
          <w:bCs/>
          <w:sz w:val="22"/>
          <w:szCs w:val="22"/>
        </w:rPr>
        <w:t>DNS)</w:t>
      </w:r>
      <w:r w:rsidR="000912DC">
        <w:rPr>
          <w:rFonts w:ascii="Calibri" w:hAnsi="Calibri" w:cs="Calibri"/>
          <w:b/>
          <w:bCs/>
          <w:sz w:val="22"/>
          <w:szCs w:val="22"/>
        </w:rPr>
        <w:t xml:space="preserve"> </w:t>
      </w:r>
      <w:r w:rsidRPr="00547F8D">
        <w:rPr>
          <w:rFonts w:ascii="Calibri" w:hAnsi="Calibri" w:cs="Calibri"/>
          <w:b/>
          <w:bCs/>
          <w:sz w:val="22"/>
          <w:szCs w:val="22"/>
        </w:rPr>
        <w:t>LUP</w:t>
      </w:r>
      <w:r w:rsidR="00AE7755" w:rsidRPr="00547F8D">
        <w:rPr>
          <w:rFonts w:ascii="Calibri" w:hAnsi="Calibri" w:cs="Calibri"/>
          <w:b/>
          <w:bCs/>
          <w:sz w:val="22"/>
          <w:szCs w:val="22"/>
        </w:rPr>
        <w:t>2</w:t>
      </w:r>
      <w:r w:rsidR="000B67A4">
        <w:rPr>
          <w:rFonts w:ascii="Calibri" w:hAnsi="Calibri" w:cs="Calibri"/>
          <w:b/>
          <w:bCs/>
          <w:sz w:val="22"/>
          <w:szCs w:val="22"/>
        </w:rPr>
        <w:t>5</w:t>
      </w:r>
      <w:r w:rsidR="0001073F" w:rsidRPr="00547F8D">
        <w:rPr>
          <w:rFonts w:ascii="Calibri" w:hAnsi="Calibri" w:cs="Calibri"/>
          <w:b/>
          <w:bCs/>
          <w:sz w:val="22"/>
          <w:szCs w:val="22"/>
        </w:rPr>
        <w:t>-</w:t>
      </w:r>
      <w:r w:rsidR="00812E3D" w:rsidRPr="00547F8D">
        <w:rPr>
          <w:rFonts w:ascii="Calibri" w:hAnsi="Calibri" w:cs="Calibri"/>
          <w:b/>
          <w:bCs/>
          <w:sz w:val="22"/>
          <w:szCs w:val="22"/>
        </w:rPr>
        <w:t>0</w:t>
      </w:r>
      <w:r w:rsidR="00DD4F63">
        <w:rPr>
          <w:rFonts w:ascii="Calibri" w:hAnsi="Calibri" w:cs="Calibri"/>
          <w:b/>
          <w:bCs/>
          <w:sz w:val="22"/>
          <w:szCs w:val="22"/>
        </w:rPr>
        <w:t>6</w:t>
      </w:r>
      <w:r w:rsidR="000B67A4">
        <w:rPr>
          <w:rFonts w:ascii="Calibri" w:hAnsi="Calibri" w:cs="Calibri"/>
          <w:b/>
          <w:bCs/>
          <w:sz w:val="22"/>
          <w:szCs w:val="22"/>
        </w:rPr>
        <w:t>7</w:t>
      </w:r>
    </w:p>
    <w:p w14:paraId="124E8895" w14:textId="77777777" w:rsidR="00053C5F" w:rsidRPr="00547F8D" w:rsidRDefault="00053C5F" w:rsidP="005C7EAE">
      <w:pPr>
        <w:tabs>
          <w:tab w:val="left" w:pos="1620"/>
        </w:tabs>
        <w:rPr>
          <w:rFonts w:ascii="Calibri" w:hAnsi="Calibri" w:cs="Calibri"/>
          <w:b/>
          <w:bCs/>
          <w:sz w:val="22"/>
          <w:szCs w:val="22"/>
        </w:rPr>
      </w:pPr>
    </w:p>
    <w:p w14:paraId="69DA6E41" w14:textId="743A6A84" w:rsidR="00452ACC" w:rsidRPr="003242D4" w:rsidRDefault="00A95F95" w:rsidP="005C7EAE">
      <w:pPr>
        <w:tabs>
          <w:tab w:val="left" w:pos="2070"/>
        </w:tabs>
        <w:ind w:left="1620" w:hanging="1620"/>
        <w:rPr>
          <w:rFonts w:ascii="Calibri" w:hAnsi="Calibri" w:cs="Calibri"/>
          <w:color w:val="000000"/>
          <w:sz w:val="22"/>
          <w:szCs w:val="22"/>
        </w:rPr>
      </w:pPr>
      <w:r>
        <w:rPr>
          <w:rFonts w:ascii="Calibri" w:hAnsi="Calibri" w:cs="Calibri"/>
          <w:color w:val="000000"/>
          <w:sz w:val="22"/>
          <w:szCs w:val="22"/>
        </w:rPr>
        <w:t>May 6</w:t>
      </w:r>
      <w:r w:rsidR="00547F8D" w:rsidRPr="003242D4">
        <w:rPr>
          <w:rFonts w:ascii="Calibri" w:hAnsi="Calibri" w:cs="Calibri"/>
          <w:color w:val="000000"/>
          <w:sz w:val="22"/>
          <w:szCs w:val="22"/>
        </w:rPr>
        <w:t>, 2026</w:t>
      </w:r>
    </w:p>
    <w:p w14:paraId="7BC4A14E" w14:textId="77777777" w:rsidR="00452ACC" w:rsidRPr="003242D4" w:rsidRDefault="00547F8D" w:rsidP="005C7EAE">
      <w:pPr>
        <w:tabs>
          <w:tab w:val="left" w:pos="2070"/>
        </w:tabs>
        <w:ind w:left="1620" w:hanging="1620"/>
        <w:rPr>
          <w:rFonts w:ascii="Calibri" w:hAnsi="Calibri" w:cs="Calibri"/>
          <w:color w:val="000000"/>
          <w:sz w:val="22"/>
          <w:szCs w:val="22"/>
        </w:rPr>
      </w:pPr>
      <w:r w:rsidRPr="003242D4">
        <w:rPr>
          <w:rFonts w:ascii="Calibri" w:hAnsi="Calibri" w:cs="Calibri"/>
          <w:color w:val="000000"/>
          <w:sz w:val="22"/>
          <w:szCs w:val="22"/>
        </w:rPr>
        <w:t xml:space="preserve">The </w:t>
      </w:r>
      <w:r w:rsidR="00452ACC" w:rsidRPr="003242D4">
        <w:rPr>
          <w:rFonts w:ascii="Calibri" w:hAnsi="Calibri" w:cs="Calibri"/>
          <w:color w:val="000000"/>
          <w:sz w:val="22"/>
          <w:szCs w:val="22"/>
        </w:rPr>
        <w:t>City of Port Townsend has received a permit application for the following project:</w:t>
      </w:r>
    </w:p>
    <w:tbl>
      <w:tblPr>
        <w:tblW w:w="9540" w:type="dxa"/>
        <w:tblLook w:val="0400" w:firstRow="0" w:lastRow="0" w:firstColumn="0" w:lastColumn="0" w:noHBand="0" w:noVBand="1"/>
      </w:tblPr>
      <w:tblGrid>
        <w:gridCol w:w="3168"/>
        <w:gridCol w:w="6372"/>
      </w:tblGrid>
      <w:tr w:rsidR="00052110" w:rsidRPr="003242D4" w14:paraId="39A69D4D" w14:textId="77777777" w:rsidTr="00B47C05">
        <w:tc>
          <w:tcPr>
            <w:tcW w:w="3168" w:type="dxa"/>
          </w:tcPr>
          <w:p w14:paraId="7256D773" w14:textId="77777777" w:rsidR="00EC0B79" w:rsidRPr="003242D4" w:rsidRDefault="00EC0B79" w:rsidP="00CE3729">
            <w:pPr>
              <w:tabs>
                <w:tab w:val="left" w:pos="2070"/>
              </w:tabs>
              <w:rPr>
                <w:rFonts w:ascii="Calibri" w:hAnsi="Calibri" w:cs="Calibri"/>
                <w:b/>
                <w:bCs/>
                <w:color w:val="000000"/>
                <w:sz w:val="22"/>
                <w:szCs w:val="22"/>
              </w:rPr>
            </w:pPr>
            <w:r w:rsidRPr="003242D4">
              <w:rPr>
                <w:rFonts w:ascii="Calibri" w:hAnsi="Calibri" w:cs="Calibri"/>
                <w:b/>
                <w:bCs/>
                <w:color w:val="000000"/>
                <w:sz w:val="22"/>
                <w:szCs w:val="22"/>
              </w:rPr>
              <w:t>Date of Public Notice</w:t>
            </w:r>
          </w:p>
        </w:tc>
        <w:tc>
          <w:tcPr>
            <w:tcW w:w="6372" w:type="dxa"/>
          </w:tcPr>
          <w:p w14:paraId="08943AF6" w14:textId="0DC5D845" w:rsidR="00EC0B79" w:rsidRPr="008012F0" w:rsidRDefault="00A95F95" w:rsidP="00CE3729">
            <w:pPr>
              <w:tabs>
                <w:tab w:val="left" w:pos="2070"/>
              </w:tabs>
              <w:rPr>
                <w:rFonts w:ascii="Calibri" w:hAnsi="Calibri" w:cs="Calibri"/>
                <w:color w:val="000000"/>
                <w:sz w:val="22"/>
                <w:szCs w:val="22"/>
              </w:rPr>
            </w:pPr>
            <w:r>
              <w:rPr>
                <w:rFonts w:ascii="Calibri" w:hAnsi="Calibri" w:cs="Calibri"/>
                <w:color w:val="000000"/>
                <w:sz w:val="22"/>
                <w:szCs w:val="22"/>
              </w:rPr>
              <w:t>May 6</w:t>
            </w:r>
            <w:r w:rsidR="00EC0B79" w:rsidRPr="008012F0">
              <w:rPr>
                <w:rFonts w:ascii="Calibri" w:hAnsi="Calibri" w:cs="Calibri"/>
                <w:color w:val="000000"/>
                <w:sz w:val="22"/>
                <w:szCs w:val="22"/>
              </w:rPr>
              <w:t>, 2026</w:t>
            </w:r>
          </w:p>
        </w:tc>
      </w:tr>
      <w:tr w:rsidR="00EC0B79" w:rsidRPr="00CE3729" w14:paraId="099FFAD1" w14:textId="77777777" w:rsidTr="00B47C05">
        <w:tc>
          <w:tcPr>
            <w:tcW w:w="3168" w:type="dxa"/>
          </w:tcPr>
          <w:p w14:paraId="47ED53B6" w14:textId="77777777" w:rsidR="00EC0B79" w:rsidRPr="003242D4" w:rsidRDefault="00EC0B79" w:rsidP="00CE3729">
            <w:pPr>
              <w:tabs>
                <w:tab w:val="left" w:pos="2070"/>
              </w:tabs>
              <w:rPr>
                <w:rFonts w:ascii="Calibri" w:hAnsi="Calibri" w:cs="Calibri"/>
                <w:b/>
                <w:bCs/>
                <w:color w:val="000000"/>
                <w:sz w:val="22"/>
                <w:szCs w:val="22"/>
                <w:u w:val="single"/>
              </w:rPr>
            </w:pPr>
            <w:r w:rsidRPr="003242D4">
              <w:rPr>
                <w:rFonts w:ascii="Calibri" w:hAnsi="Calibri" w:cs="Calibri"/>
                <w:b/>
                <w:bCs/>
                <w:color w:val="000000"/>
                <w:sz w:val="22"/>
                <w:szCs w:val="22"/>
                <w:u w:val="single"/>
              </w:rPr>
              <w:t>SEPA Public Comment Deadline</w:t>
            </w:r>
          </w:p>
        </w:tc>
        <w:tc>
          <w:tcPr>
            <w:tcW w:w="6372" w:type="dxa"/>
          </w:tcPr>
          <w:p w14:paraId="76B1448E" w14:textId="5DA2AE03" w:rsidR="00EC0B79" w:rsidRPr="008012F0" w:rsidRDefault="00FB3719" w:rsidP="00CE3729">
            <w:pPr>
              <w:tabs>
                <w:tab w:val="left" w:pos="2070"/>
              </w:tabs>
              <w:rPr>
                <w:rFonts w:ascii="Calibri" w:hAnsi="Calibri" w:cs="Calibri"/>
                <w:b/>
                <w:bCs/>
                <w:color w:val="000000"/>
                <w:sz w:val="22"/>
                <w:szCs w:val="22"/>
                <w:u w:val="single"/>
              </w:rPr>
            </w:pPr>
            <w:r>
              <w:rPr>
                <w:rFonts w:ascii="Calibri" w:hAnsi="Calibri" w:cs="Calibri"/>
                <w:b/>
                <w:bCs/>
                <w:color w:val="000000"/>
                <w:sz w:val="22"/>
                <w:szCs w:val="22"/>
                <w:u w:val="single"/>
              </w:rPr>
              <w:t>May</w:t>
            </w:r>
            <w:r w:rsidR="00547F8D" w:rsidRPr="008012F0">
              <w:rPr>
                <w:rFonts w:ascii="Calibri" w:hAnsi="Calibri" w:cs="Calibri"/>
                <w:b/>
                <w:bCs/>
                <w:color w:val="000000"/>
                <w:sz w:val="22"/>
                <w:szCs w:val="22"/>
                <w:u w:val="single"/>
              </w:rPr>
              <w:t xml:space="preserve"> </w:t>
            </w:r>
            <w:r w:rsidR="0022187F">
              <w:rPr>
                <w:rFonts w:ascii="Calibri" w:hAnsi="Calibri" w:cs="Calibri"/>
                <w:b/>
                <w:bCs/>
                <w:color w:val="000000"/>
                <w:sz w:val="22"/>
                <w:szCs w:val="22"/>
                <w:u w:val="single"/>
              </w:rPr>
              <w:t>20</w:t>
            </w:r>
            <w:r w:rsidR="00547F8D" w:rsidRPr="008012F0">
              <w:rPr>
                <w:rFonts w:ascii="Calibri" w:hAnsi="Calibri" w:cs="Calibri"/>
                <w:b/>
                <w:bCs/>
                <w:color w:val="000000"/>
                <w:sz w:val="22"/>
                <w:szCs w:val="22"/>
                <w:u w:val="single"/>
              </w:rPr>
              <w:t>, 2026</w:t>
            </w:r>
          </w:p>
        </w:tc>
      </w:tr>
      <w:tr w:rsidR="00EC0B79" w:rsidRPr="00CE3729" w14:paraId="10BCAFF8" w14:textId="77777777" w:rsidTr="00B47C05">
        <w:tc>
          <w:tcPr>
            <w:tcW w:w="3168" w:type="dxa"/>
          </w:tcPr>
          <w:p w14:paraId="5965E7E2"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Lead Agency</w:t>
            </w:r>
          </w:p>
        </w:tc>
        <w:tc>
          <w:tcPr>
            <w:tcW w:w="6372" w:type="dxa"/>
          </w:tcPr>
          <w:p w14:paraId="357DBFA4" w14:textId="77777777" w:rsidR="00EC0B79" w:rsidRPr="008012F0" w:rsidRDefault="00EC0B79" w:rsidP="00CE3729">
            <w:pPr>
              <w:ind w:left="-20"/>
              <w:rPr>
                <w:rFonts w:ascii="Calibri" w:hAnsi="Calibri" w:cs="Calibri"/>
                <w:color w:val="000000"/>
                <w:sz w:val="22"/>
                <w:szCs w:val="22"/>
              </w:rPr>
            </w:pPr>
            <w:r w:rsidRPr="008012F0">
              <w:rPr>
                <w:rFonts w:ascii="Calibri" w:hAnsi="Calibri" w:cs="Calibri"/>
                <w:color w:val="000000"/>
                <w:sz w:val="22"/>
                <w:szCs w:val="22"/>
              </w:rPr>
              <w:t>City of Port Townsend, Planning and Community Development</w:t>
            </w:r>
            <w:r w:rsidR="00547F8D" w:rsidRPr="008012F0">
              <w:rPr>
                <w:rFonts w:ascii="Calibri" w:hAnsi="Calibri" w:cs="Calibri"/>
                <w:color w:val="000000"/>
                <w:sz w:val="22"/>
                <w:szCs w:val="22"/>
              </w:rPr>
              <w:t xml:space="preserve"> </w:t>
            </w:r>
            <w:r w:rsidRPr="008012F0">
              <w:rPr>
                <w:rFonts w:ascii="Calibri" w:hAnsi="Calibri" w:cs="Calibri"/>
                <w:color w:val="000000"/>
                <w:sz w:val="22"/>
                <w:szCs w:val="22"/>
              </w:rPr>
              <w:t>(PCD)</w:t>
            </w:r>
          </w:p>
          <w:p w14:paraId="342DB7B1" w14:textId="77777777" w:rsidR="00EC0B79" w:rsidRPr="008012F0" w:rsidRDefault="00EC0B79" w:rsidP="00CE3729">
            <w:pPr>
              <w:tabs>
                <w:tab w:val="left" w:pos="1620"/>
              </w:tabs>
              <w:rPr>
                <w:rFonts w:ascii="Calibri" w:hAnsi="Calibri" w:cs="Calibri"/>
                <w:color w:val="000000"/>
                <w:sz w:val="22"/>
                <w:szCs w:val="22"/>
              </w:rPr>
            </w:pPr>
            <w:r w:rsidRPr="008012F0">
              <w:rPr>
                <w:rFonts w:ascii="Calibri" w:hAnsi="Calibri" w:cs="Calibri"/>
                <w:color w:val="000000"/>
                <w:sz w:val="22"/>
                <w:szCs w:val="22"/>
              </w:rPr>
              <w:t>City Hall, 250 Madison Street, Suite 3</w:t>
            </w:r>
          </w:p>
          <w:p w14:paraId="58ECD538" w14:textId="77777777" w:rsidR="00EC0B79" w:rsidRPr="008012F0" w:rsidRDefault="00EC0B79" w:rsidP="00CE3729">
            <w:pPr>
              <w:tabs>
                <w:tab w:val="left" w:pos="1620"/>
              </w:tabs>
              <w:rPr>
                <w:rFonts w:ascii="Calibri" w:hAnsi="Calibri" w:cs="Calibri"/>
                <w:color w:val="000000"/>
                <w:sz w:val="22"/>
                <w:szCs w:val="22"/>
              </w:rPr>
            </w:pPr>
            <w:r w:rsidRPr="008012F0">
              <w:rPr>
                <w:rFonts w:ascii="Calibri" w:hAnsi="Calibri" w:cs="Calibri"/>
                <w:color w:val="000000"/>
                <w:sz w:val="22"/>
                <w:szCs w:val="22"/>
              </w:rPr>
              <w:t xml:space="preserve">Port Townsend, WA 98368   </w:t>
            </w:r>
          </w:p>
        </w:tc>
      </w:tr>
      <w:tr w:rsidR="00EC0B79" w:rsidRPr="00CE3729" w14:paraId="607A9FB9" w14:textId="77777777" w:rsidTr="00B47C05">
        <w:tc>
          <w:tcPr>
            <w:tcW w:w="3168" w:type="dxa"/>
          </w:tcPr>
          <w:p w14:paraId="31B782C7"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Staff Contact</w:t>
            </w:r>
          </w:p>
        </w:tc>
        <w:tc>
          <w:tcPr>
            <w:tcW w:w="6372" w:type="dxa"/>
          </w:tcPr>
          <w:p w14:paraId="6820E348" w14:textId="77777777" w:rsidR="00EC0B79" w:rsidRPr="00FB3719" w:rsidRDefault="00EC0B79" w:rsidP="00CE3729">
            <w:pPr>
              <w:tabs>
                <w:tab w:val="left" w:pos="2070"/>
              </w:tabs>
              <w:rPr>
                <w:rFonts w:ascii="Calibri" w:hAnsi="Calibri" w:cs="Calibri"/>
                <w:sz w:val="22"/>
                <w:szCs w:val="22"/>
              </w:rPr>
            </w:pPr>
            <w:r w:rsidRPr="00FB3719">
              <w:rPr>
                <w:rFonts w:ascii="Calibri" w:hAnsi="Calibri" w:cs="Calibri"/>
                <w:sz w:val="22"/>
                <w:szCs w:val="22"/>
              </w:rPr>
              <w:t xml:space="preserve">Adrian Smith, Senior Planner </w:t>
            </w:r>
          </w:p>
          <w:p w14:paraId="50BC3CF0" w14:textId="77777777" w:rsidR="00EC0B79" w:rsidRPr="00FB3719" w:rsidRDefault="00EC0B79" w:rsidP="00CE3729">
            <w:pPr>
              <w:tabs>
                <w:tab w:val="left" w:pos="2070"/>
              </w:tabs>
              <w:rPr>
                <w:rFonts w:ascii="Calibri" w:hAnsi="Calibri" w:cs="Calibri"/>
                <w:b/>
                <w:bCs/>
                <w:sz w:val="22"/>
                <w:szCs w:val="22"/>
              </w:rPr>
            </w:pPr>
            <w:r w:rsidRPr="00FB3719">
              <w:rPr>
                <w:rFonts w:ascii="Calibri" w:hAnsi="Calibri" w:cs="Calibri"/>
                <w:sz w:val="22"/>
                <w:szCs w:val="22"/>
              </w:rPr>
              <w:t xml:space="preserve">(360) 379-4423, </w:t>
            </w:r>
            <w:hyperlink r:id="rId5" w:history="1">
              <w:r w:rsidRPr="00FB3719">
                <w:rPr>
                  <w:rStyle w:val="Hyperlink"/>
                  <w:rFonts w:ascii="Calibri" w:hAnsi="Calibri" w:cs="Calibri"/>
                  <w:sz w:val="22"/>
                  <w:szCs w:val="22"/>
                </w:rPr>
                <w:t>asmith@cityofpt.us</w:t>
              </w:r>
            </w:hyperlink>
          </w:p>
        </w:tc>
      </w:tr>
      <w:tr w:rsidR="00EC0B79" w:rsidRPr="00CE3729" w14:paraId="3AC00C09" w14:textId="77777777" w:rsidTr="00B47C05">
        <w:tc>
          <w:tcPr>
            <w:tcW w:w="3168" w:type="dxa"/>
          </w:tcPr>
          <w:p w14:paraId="5B4E628F"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Agency File Number</w:t>
            </w:r>
          </w:p>
        </w:tc>
        <w:tc>
          <w:tcPr>
            <w:tcW w:w="6372" w:type="dxa"/>
          </w:tcPr>
          <w:p w14:paraId="6927E66E" w14:textId="3B005434" w:rsidR="00EC0B79" w:rsidRPr="00FB3719" w:rsidRDefault="00EC0B79" w:rsidP="00CE3729">
            <w:pPr>
              <w:tabs>
                <w:tab w:val="left" w:pos="2070"/>
              </w:tabs>
              <w:rPr>
                <w:rFonts w:ascii="Calibri" w:hAnsi="Calibri" w:cs="Calibri"/>
                <w:b/>
                <w:bCs/>
                <w:sz w:val="22"/>
                <w:szCs w:val="22"/>
              </w:rPr>
            </w:pPr>
            <w:r w:rsidRPr="00FB3719">
              <w:rPr>
                <w:rFonts w:ascii="Calibri" w:hAnsi="Calibri" w:cs="Calibri"/>
                <w:b/>
                <w:bCs/>
                <w:sz w:val="22"/>
                <w:szCs w:val="22"/>
              </w:rPr>
              <w:t>LUP2</w:t>
            </w:r>
            <w:r w:rsidR="000B67A4">
              <w:rPr>
                <w:rFonts w:ascii="Calibri" w:hAnsi="Calibri" w:cs="Calibri"/>
                <w:b/>
                <w:bCs/>
                <w:sz w:val="22"/>
                <w:szCs w:val="22"/>
              </w:rPr>
              <w:t>5</w:t>
            </w:r>
            <w:r w:rsidRPr="00FB3719">
              <w:rPr>
                <w:rFonts w:ascii="Calibri" w:hAnsi="Calibri" w:cs="Calibri"/>
                <w:b/>
                <w:bCs/>
                <w:sz w:val="22"/>
                <w:szCs w:val="22"/>
              </w:rPr>
              <w:t>-0</w:t>
            </w:r>
            <w:r w:rsidR="00FB3719" w:rsidRPr="00FB3719">
              <w:rPr>
                <w:rFonts w:ascii="Calibri" w:hAnsi="Calibri" w:cs="Calibri"/>
                <w:b/>
                <w:bCs/>
                <w:sz w:val="22"/>
                <w:szCs w:val="22"/>
              </w:rPr>
              <w:t>6</w:t>
            </w:r>
            <w:r w:rsidR="000B67A4">
              <w:rPr>
                <w:rFonts w:ascii="Calibri" w:hAnsi="Calibri" w:cs="Calibri"/>
                <w:b/>
                <w:bCs/>
                <w:sz w:val="22"/>
                <w:szCs w:val="22"/>
              </w:rPr>
              <w:t>7</w:t>
            </w:r>
          </w:p>
        </w:tc>
      </w:tr>
      <w:tr w:rsidR="00EC0B79" w:rsidRPr="00CE3729" w14:paraId="2EF013A4" w14:textId="77777777" w:rsidTr="00B47C05">
        <w:tc>
          <w:tcPr>
            <w:tcW w:w="3168" w:type="dxa"/>
          </w:tcPr>
          <w:p w14:paraId="749A9BB2"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Project Description</w:t>
            </w:r>
          </w:p>
        </w:tc>
        <w:tc>
          <w:tcPr>
            <w:tcW w:w="6372" w:type="dxa"/>
          </w:tcPr>
          <w:p w14:paraId="6A53E11D" w14:textId="0F6F51D3" w:rsidR="00EC0B79" w:rsidRPr="000B67A4" w:rsidRDefault="000B67A4" w:rsidP="00CE3729">
            <w:pPr>
              <w:tabs>
                <w:tab w:val="left" w:pos="2070"/>
              </w:tabs>
              <w:rPr>
                <w:rFonts w:ascii="Calibri" w:hAnsi="Calibri" w:cs="Calibri"/>
                <w:sz w:val="22"/>
                <w:szCs w:val="22"/>
              </w:rPr>
            </w:pPr>
            <w:bookmarkStart w:id="0" w:name="_Hlk141261759"/>
            <w:r w:rsidRPr="000B67A4">
              <w:rPr>
                <w:rFonts w:ascii="Calibri" w:hAnsi="Calibri" w:cs="Calibri"/>
                <w:sz w:val="22"/>
                <w:szCs w:val="22"/>
              </w:rPr>
              <w:t xml:space="preserve">Boat Haven Breakwater Repair </w:t>
            </w:r>
            <w:bookmarkEnd w:id="0"/>
            <w:r w:rsidRPr="000B67A4">
              <w:rPr>
                <w:rFonts w:ascii="Calibri" w:hAnsi="Calibri" w:cs="Calibri"/>
                <w:sz w:val="22"/>
                <w:szCs w:val="22"/>
              </w:rPr>
              <w:t xml:space="preserve">- The proposal is to rehabilitate an existing breakwater, approximately 2,400 linear feet in length, built in the 1930's, that protects the Boat Haven Marina harbor.  The eastern </w:t>
            </w:r>
            <w:proofErr w:type="gramStart"/>
            <w:r w:rsidRPr="000B67A4">
              <w:rPr>
                <w:rFonts w:ascii="Calibri" w:hAnsi="Calibri" w:cs="Calibri"/>
                <w:sz w:val="22"/>
                <w:szCs w:val="22"/>
              </w:rPr>
              <w:t>590 foot long</w:t>
            </w:r>
            <w:proofErr w:type="gramEnd"/>
            <w:r w:rsidRPr="000B67A4">
              <w:rPr>
                <w:rFonts w:ascii="Calibri" w:hAnsi="Calibri" w:cs="Calibri"/>
                <w:sz w:val="22"/>
                <w:szCs w:val="22"/>
              </w:rPr>
              <w:t xml:space="preserve"> section, approximately 43,000 cubic yards in volume, is owned by the Port and </w:t>
            </w:r>
            <w:proofErr w:type="gramStart"/>
            <w:r w:rsidRPr="000B67A4">
              <w:rPr>
                <w:rFonts w:ascii="Calibri" w:hAnsi="Calibri" w:cs="Calibri"/>
                <w:sz w:val="22"/>
                <w:szCs w:val="22"/>
              </w:rPr>
              <w:t>is in need of</w:t>
            </w:r>
            <w:proofErr w:type="gramEnd"/>
            <w:r w:rsidRPr="000B67A4">
              <w:rPr>
                <w:rFonts w:ascii="Calibri" w:hAnsi="Calibri" w:cs="Calibri"/>
                <w:sz w:val="22"/>
                <w:szCs w:val="22"/>
              </w:rPr>
              <w:t xml:space="preserve"> repair. The repairs consist of replacing approximately 7% of the overall prism volume of Port-Owned breakwater with new armor stone rip-rap and quarry spalls</w:t>
            </w:r>
            <w:r>
              <w:rPr>
                <w:rFonts w:ascii="Calibri" w:hAnsi="Calibri" w:cs="Calibri"/>
                <w:sz w:val="22"/>
                <w:szCs w:val="22"/>
              </w:rPr>
              <w:t>.</w:t>
            </w:r>
          </w:p>
        </w:tc>
      </w:tr>
      <w:tr w:rsidR="00EC0B79" w:rsidRPr="00CE3729" w14:paraId="3C478A9D" w14:textId="77777777" w:rsidTr="00B47C05">
        <w:tc>
          <w:tcPr>
            <w:tcW w:w="3168" w:type="dxa"/>
          </w:tcPr>
          <w:p w14:paraId="4B2E48F4"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Location</w:t>
            </w:r>
          </w:p>
        </w:tc>
        <w:tc>
          <w:tcPr>
            <w:tcW w:w="6372" w:type="dxa"/>
          </w:tcPr>
          <w:p w14:paraId="49B19254" w14:textId="4E2AE893" w:rsidR="00EC0B79" w:rsidRPr="000B67A4" w:rsidRDefault="009B2504" w:rsidP="00BD7E96">
            <w:pPr>
              <w:tabs>
                <w:tab w:val="left" w:pos="2070"/>
              </w:tabs>
              <w:rPr>
                <w:rFonts w:ascii="Calibri" w:hAnsi="Calibri" w:cs="Calibri"/>
                <w:sz w:val="22"/>
                <w:szCs w:val="22"/>
              </w:rPr>
            </w:pPr>
            <w:sdt>
              <w:sdtPr>
                <w:rPr>
                  <w:rFonts w:ascii="Calibri" w:hAnsi="Calibri" w:cs="Calibri"/>
                  <w:sz w:val="22"/>
                  <w:szCs w:val="22"/>
                </w:rPr>
                <w:id w:val="1189807358"/>
                <w:placeholder>
                  <w:docPart w:val="BF5D2D807F4245FE94934897102C4A4C"/>
                </w:placeholder>
              </w:sdtPr>
              <w:sdtEndPr/>
              <w:sdtContent>
                <w:r w:rsidR="000B67A4" w:rsidRPr="000B67A4">
                  <w:rPr>
                    <w:rFonts w:ascii="Calibri" w:hAnsi="Calibri" w:cs="Calibri"/>
                    <w:sz w:val="22"/>
                    <w:szCs w:val="22"/>
                  </w:rPr>
                  <w:t>Port Townsend Bay and protecting the Boat Haven Marina (2740 Washington Street, Port Townsend, WA) the breakwater protects the recreational and commercial boat basins including docks, slips and a fuel station and a boat ramp. Assessor’s Parcel number 957602301</w:t>
                </w:r>
              </w:sdtContent>
            </w:sdt>
          </w:p>
        </w:tc>
      </w:tr>
      <w:tr w:rsidR="00EC0B79" w:rsidRPr="00CE3729" w14:paraId="4CEEA5D2" w14:textId="77777777" w:rsidTr="00B47C05">
        <w:tc>
          <w:tcPr>
            <w:tcW w:w="3168" w:type="dxa"/>
          </w:tcPr>
          <w:p w14:paraId="1F9D8AAB"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Applicant</w:t>
            </w:r>
          </w:p>
        </w:tc>
        <w:tc>
          <w:tcPr>
            <w:tcW w:w="6372" w:type="dxa"/>
          </w:tcPr>
          <w:p w14:paraId="3335DC33" w14:textId="0CC8E7A6" w:rsidR="00BD7E96" w:rsidRPr="00BD7E96" w:rsidRDefault="000B67A4" w:rsidP="00BD7E96">
            <w:pPr>
              <w:tabs>
                <w:tab w:val="left" w:pos="2070"/>
              </w:tabs>
              <w:rPr>
                <w:rFonts w:ascii="Calibri" w:hAnsi="Calibri" w:cs="Calibri"/>
                <w:color w:val="000000"/>
                <w:sz w:val="22"/>
                <w:szCs w:val="22"/>
              </w:rPr>
            </w:pPr>
            <w:r>
              <w:rPr>
                <w:rFonts w:ascii="Calibri" w:hAnsi="Calibri" w:cs="Calibri"/>
                <w:color w:val="000000"/>
                <w:sz w:val="22"/>
                <w:szCs w:val="22"/>
              </w:rPr>
              <w:t>Port of</w:t>
            </w:r>
            <w:r w:rsidR="00BD7E96" w:rsidRPr="00BD7E96">
              <w:rPr>
                <w:rFonts w:ascii="Calibri" w:hAnsi="Calibri" w:cs="Calibri"/>
                <w:color w:val="000000"/>
                <w:sz w:val="22"/>
                <w:szCs w:val="22"/>
              </w:rPr>
              <w:t xml:space="preserve"> Port Townsend</w:t>
            </w:r>
          </w:p>
          <w:p w14:paraId="5AB6AFB4" w14:textId="77777777" w:rsidR="000B67A4" w:rsidRDefault="000B67A4" w:rsidP="00BD7E96">
            <w:pPr>
              <w:tabs>
                <w:tab w:val="left" w:pos="2070"/>
              </w:tabs>
              <w:rPr>
                <w:rFonts w:ascii="Calibri" w:hAnsi="Calibri" w:cs="Calibri"/>
                <w:color w:val="000000"/>
                <w:sz w:val="22"/>
                <w:szCs w:val="22"/>
              </w:rPr>
            </w:pPr>
            <w:r>
              <w:rPr>
                <w:rFonts w:ascii="Calibri" w:hAnsi="Calibri" w:cs="Calibri"/>
                <w:color w:val="000000"/>
                <w:sz w:val="22"/>
                <w:szCs w:val="22"/>
              </w:rPr>
              <w:t xml:space="preserve">Dave Nakagawara </w:t>
            </w:r>
          </w:p>
          <w:p w14:paraId="18F0AA15" w14:textId="5393F68E" w:rsidR="00BD7E96" w:rsidRPr="00BD7E96" w:rsidRDefault="000B67A4" w:rsidP="00BD7E96">
            <w:pPr>
              <w:tabs>
                <w:tab w:val="left" w:pos="2070"/>
              </w:tabs>
              <w:rPr>
                <w:rFonts w:ascii="Calibri" w:hAnsi="Calibri" w:cs="Calibri"/>
                <w:color w:val="000000"/>
                <w:sz w:val="22"/>
                <w:szCs w:val="22"/>
              </w:rPr>
            </w:pPr>
            <w:r>
              <w:rPr>
                <w:rFonts w:ascii="Calibri" w:hAnsi="Calibri" w:cs="Calibri"/>
                <w:color w:val="000000"/>
                <w:sz w:val="22"/>
                <w:szCs w:val="22"/>
              </w:rPr>
              <w:t>380 Jefferson Street/Post Office Box 1180</w:t>
            </w:r>
          </w:p>
          <w:p w14:paraId="38205F23" w14:textId="06188DEA" w:rsidR="00EC0B79"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Port Townsend, WA 98368</w:t>
            </w:r>
          </w:p>
        </w:tc>
      </w:tr>
    </w:tbl>
    <w:p w14:paraId="7A5C3689" w14:textId="77777777" w:rsidR="00EC0B79" w:rsidRPr="00547F8D" w:rsidRDefault="00EC0B79" w:rsidP="005C7EAE">
      <w:pPr>
        <w:tabs>
          <w:tab w:val="left" w:pos="2070"/>
        </w:tabs>
        <w:ind w:left="1620" w:hanging="1620"/>
        <w:rPr>
          <w:rFonts w:ascii="Calibri" w:hAnsi="Calibri" w:cs="Calibri"/>
          <w:sz w:val="22"/>
          <w:szCs w:val="22"/>
        </w:rPr>
      </w:pPr>
    </w:p>
    <w:p w14:paraId="049070ED" w14:textId="01D472AC" w:rsidR="00E707C3" w:rsidRPr="000B67A4" w:rsidRDefault="00EC0B79" w:rsidP="000B67A4">
      <w:pPr>
        <w:adjustRightInd w:val="0"/>
        <w:rPr>
          <w:rFonts w:ascii="Calibri" w:hAnsi="Calibri" w:cs="Calibri"/>
          <w:sz w:val="22"/>
          <w:szCs w:val="22"/>
        </w:rPr>
      </w:pPr>
      <w:r w:rsidRPr="00547F8D">
        <w:rPr>
          <w:rFonts w:ascii="Calibri" w:hAnsi="Calibri" w:cs="Calibri"/>
          <w:b/>
          <w:color w:val="000000"/>
          <w:sz w:val="22"/>
          <w:szCs w:val="22"/>
        </w:rPr>
        <w:t xml:space="preserve">SEPA </w:t>
      </w:r>
      <w:r w:rsidRPr="000B67A4">
        <w:rPr>
          <w:rFonts w:ascii="Calibri" w:hAnsi="Calibri" w:cs="Calibri"/>
          <w:b/>
          <w:color w:val="000000"/>
          <w:sz w:val="22"/>
          <w:szCs w:val="22"/>
        </w:rPr>
        <w:t xml:space="preserve">Environmental Review: </w:t>
      </w:r>
      <w:r w:rsidR="000B67A4" w:rsidRPr="000B67A4">
        <w:rPr>
          <w:rFonts w:ascii="Calibri" w:hAnsi="Calibri" w:cs="Calibri"/>
          <w:sz w:val="22"/>
          <w:szCs w:val="22"/>
        </w:rPr>
        <w:t xml:space="preserve">The lead agency has determined that this proposal will not have a probable significant adverse impact on the environment. Pursuant to </w:t>
      </w:r>
      <w:r w:rsidR="000B67A4" w:rsidRPr="000B67A4">
        <w:rPr>
          <w:rFonts w:ascii="Calibri" w:hAnsi="Calibri" w:cs="Calibri"/>
          <w:color w:val="000000"/>
          <w:sz w:val="22"/>
          <w:szCs w:val="22"/>
        </w:rPr>
        <w:t>WAC</w:t>
      </w:r>
      <w:r w:rsidR="000B67A4" w:rsidRPr="000B67A4">
        <w:rPr>
          <w:rFonts w:ascii="Calibri" w:hAnsi="Calibri" w:cs="Calibri"/>
          <w:sz w:val="22"/>
          <w:szCs w:val="22"/>
        </w:rPr>
        <w:t xml:space="preserve"> </w:t>
      </w:r>
      <w:hyperlink r:id="rId6" w:history="1">
        <w:r w:rsidR="000B67A4" w:rsidRPr="000B67A4">
          <w:rPr>
            <w:rStyle w:val="Hyperlink"/>
            <w:rFonts w:ascii="Calibri" w:hAnsi="Calibri" w:cs="Calibri"/>
            <w:sz w:val="22"/>
            <w:szCs w:val="22"/>
          </w:rPr>
          <w:t>197-11-350</w:t>
        </w:r>
      </w:hyperlink>
      <w:r w:rsidR="000B67A4" w:rsidRPr="000B67A4">
        <w:rPr>
          <w:rFonts w:ascii="Calibri" w:hAnsi="Calibri" w:cs="Calibri"/>
          <w:sz w:val="22"/>
          <w:szCs w:val="22"/>
        </w:rPr>
        <w:t xml:space="preserve">(3), the proposal has been clarified, changed, and conditioned to include the following mitigation measures to avoid, minimize or compensate for probable significant impacts. An environmental impact statement (EIS) is not required under RCW </w:t>
      </w:r>
      <w:hyperlink r:id="rId7" w:history="1">
        <w:r w:rsidR="000B67A4" w:rsidRPr="000B67A4">
          <w:rPr>
            <w:rStyle w:val="Hyperlink"/>
            <w:rFonts w:ascii="Calibri" w:hAnsi="Calibri" w:cs="Calibri"/>
            <w:sz w:val="22"/>
            <w:szCs w:val="22"/>
          </w:rPr>
          <w:t>43.21C.030</w:t>
        </w:r>
      </w:hyperlink>
      <w:r w:rsidR="000B67A4" w:rsidRPr="000B67A4">
        <w:rPr>
          <w:rFonts w:ascii="Calibri" w:hAnsi="Calibri" w:cs="Calibri"/>
          <w:sz w:val="22"/>
          <w:szCs w:val="22"/>
        </w:rPr>
        <w:t xml:space="preserve">.  The necessary mitigation measures are listed </w:t>
      </w:r>
      <w:r w:rsidR="000B67A4">
        <w:rPr>
          <w:rFonts w:ascii="Calibri" w:hAnsi="Calibri" w:cs="Calibri"/>
          <w:sz w:val="22"/>
          <w:szCs w:val="22"/>
        </w:rPr>
        <w:t>in the SEPA MDNS, SEPA checklist, and other documentation</w:t>
      </w:r>
      <w:r w:rsidR="00E707C3" w:rsidRPr="000B67A4">
        <w:rPr>
          <w:rFonts w:ascii="Calibri" w:hAnsi="Calibri" w:cs="Calibri"/>
          <w:sz w:val="22"/>
          <w:szCs w:val="22"/>
        </w:rPr>
        <w:t xml:space="preserve"> available </w:t>
      </w:r>
      <w:r w:rsidR="00BD7E96" w:rsidRPr="000B67A4">
        <w:rPr>
          <w:rFonts w:ascii="Calibri" w:hAnsi="Calibri" w:cs="Calibri"/>
          <w:sz w:val="22"/>
          <w:szCs w:val="22"/>
        </w:rPr>
        <w:t>at</w:t>
      </w:r>
      <w:r w:rsidR="00E707C3" w:rsidRPr="000B67A4">
        <w:rPr>
          <w:rFonts w:ascii="Calibri" w:hAnsi="Calibri" w:cs="Calibri"/>
          <w:sz w:val="22"/>
          <w:szCs w:val="22"/>
        </w:rPr>
        <w:t xml:space="preserve"> </w:t>
      </w:r>
    </w:p>
    <w:p w14:paraId="3448E16E" w14:textId="0D0494C5" w:rsidR="00E707C3" w:rsidRPr="000B67A4" w:rsidRDefault="00BD7E96" w:rsidP="00BD7E96">
      <w:pPr>
        <w:rPr>
          <w:rFonts w:ascii="Calibri" w:hAnsi="Calibri" w:cs="Calibri"/>
          <w:sz w:val="22"/>
          <w:szCs w:val="22"/>
        </w:rPr>
      </w:pPr>
      <w:hyperlink r:id="rId8" w:history="1">
        <w:r w:rsidRPr="000B67A4">
          <w:rPr>
            <w:rStyle w:val="Hyperlink"/>
            <w:rFonts w:ascii="Calibri" w:hAnsi="Calibri" w:cs="Calibri"/>
            <w:sz w:val="22"/>
            <w:szCs w:val="22"/>
          </w:rPr>
          <w:t>https://cityofpt.us/planning-community-development/page/now-accepting-public-comments</w:t>
        </w:r>
      </w:hyperlink>
    </w:p>
    <w:p w14:paraId="09636654" w14:textId="77777777" w:rsidR="00EC0B79" w:rsidRPr="000B67A4" w:rsidRDefault="00EC0B79" w:rsidP="00EC0B79">
      <w:pPr>
        <w:rPr>
          <w:rFonts w:ascii="Calibri" w:hAnsi="Calibri" w:cs="Calibri"/>
          <w:color w:val="000000"/>
          <w:sz w:val="22"/>
          <w:szCs w:val="22"/>
        </w:rPr>
      </w:pPr>
    </w:p>
    <w:p w14:paraId="5383A95C" w14:textId="056976EA" w:rsidR="00BD7E96" w:rsidRPr="0056309A" w:rsidRDefault="00BD7E96" w:rsidP="00BD7E96">
      <w:pPr>
        <w:adjustRightInd w:val="0"/>
        <w:rPr>
          <w:rFonts w:ascii="Calibri" w:hAnsi="Calibri" w:cs="Calibri"/>
          <w:color w:val="000000"/>
          <w:sz w:val="22"/>
          <w:szCs w:val="22"/>
        </w:rPr>
      </w:pPr>
      <w:r w:rsidRPr="000B67A4">
        <w:rPr>
          <w:rFonts w:ascii="Calibri" w:hAnsi="Calibri" w:cs="Calibri"/>
          <w:color w:val="000000"/>
          <w:sz w:val="22"/>
          <w:szCs w:val="22"/>
        </w:rPr>
        <w:t>Written comments/appeals concerning the environmental analysis and SEPA determination must be submitted to Planning</w:t>
      </w:r>
      <w:r w:rsidRPr="0056309A">
        <w:rPr>
          <w:rFonts w:ascii="Calibri" w:hAnsi="Calibri" w:cs="Calibri"/>
          <w:color w:val="000000"/>
          <w:sz w:val="22"/>
          <w:szCs w:val="22"/>
        </w:rPr>
        <w:t xml:space="preserve"> and Community Development no later than </w:t>
      </w:r>
      <w:r w:rsidRPr="0056309A">
        <w:rPr>
          <w:rFonts w:ascii="Calibri" w:hAnsi="Calibri" w:cs="Calibri"/>
          <w:b/>
          <w:bCs/>
          <w:color w:val="000000"/>
          <w:sz w:val="22"/>
          <w:szCs w:val="22"/>
          <w:u w:val="single"/>
        </w:rPr>
        <w:t>4:</w:t>
      </w:r>
      <w:r w:rsidR="000B67A4">
        <w:rPr>
          <w:rFonts w:ascii="Calibri" w:hAnsi="Calibri" w:cs="Calibri"/>
          <w:b/>
          <w:bCs/>
          <w:color w:val="000000"/>
          <w:sz w:val="22"/>
          <w:szCs w:val="22"/>
          <w:u w:val="single"/>
        </w:rPr>
        <w:t>3</w:t>
      </w:r>
      <w:r w:rsidRPr="0056309A">
        <w:rPr>
          <w:rFonts w:ascii="Calibri" w:hAnsi="Calibri" w:cs="Calibri"/>
          <w:b/>
          <w:bCs/>
          <w:color w:val="000000"/>
          <w:sz w:val="22"/>
          <w:szCs w:val="22"/>
          <w:u w:val="single"/>
        </w:rPr>
        <w:t xml:space="preserve">0 p.m., May </w:t>
      </w:r>
      <w:r w:rsidR="0022187F" w:rsidRPr="0056309A">
        <w:rPr>
          <w:rFonts w:ascii="Calibri" w:hAnsi="Calibri" w:cs="Calibri"/>
          <w:b/>
          <w:bCs/>
          <w:color w:val="000000"/>
          <w:sz w:val="22"/>
          <w:szCs w:val="22"/>
          <w:u w:val="single"/>
        </w:rPr>
        <w:t>20</w:t>
      </w:r>
      <w:r w:rsidRPr="0056309A">
        <w:rPr>
          <w:rFonts w:ascii="Calibri" w:hAnsi="Calibri" w:cs="Calibri"/>
          <w:b/>
          <w:bCs/>
          <w:color w:val="000000"/>
          <w:sz w:val="22"/>
          <w:szCs w:val="22"/>
          <w:u w:val="single"/>
        </w:rPr>
        <w:t>, 2026</w:t>
      </w:r>
      <w:r w:rsidRPr="0056309A">
        <w:rPr>
          <w:rFonts w:ascii="Calibri" w:hAnsi="Calibri" w:cs="Calibri"/>
          <w:color w:val="000000"/>
          <w:sz w:val="22"/>
          <w:szCs w:val="22"/>
        </w:rPr>
        <w:t xml:space="preserve">. </w:t>
      </w:r>
      <w:r w:rsidRPr="0056309A">
        <w:rPr>
          <w:rFonts w:ascii="Calibri" w:hAnsi="Calibri" w:cs="Calibri"/>
          <w:color w:val="000000"/>
          <w:sz w:val="22"/>
          <w:szCs w:val="22"/>
          <w:u w:val="single"/>
        </w:rPr>
        <w:t>This comment period will be the only time to comment on the environmental impacts of the proposed project</w:t>
      </w:r>
      <w:r w:rsidRPr="0056309A">
        <w:rPr>
          <w:rFonts w:ascii="Calibri" w:hAnsi="Calibri" w:cs="Calibri"/>
          <w:color w:val="000000"/>
          <w:sz w:val="22"/>
          <w:szCs w:val="22"/>
        </w:rPr>
        <w:t xml:space="preserve">. Any appeal of a SEPA determination for Type V applications is heard by the City Council. Please address comments/appeals to the staff contact. </w:t>
      </w:r>
    </w:p>
    <w:p w14:paraId="67818A8F" w14:textId="3A03A33C" w:rsidR="00053C5F" w:rsidRPr="00BD7E96" w:rsidRDefault="00053C5F" w:rsidP="00BD7E96">
      <w:pPr>
        <w:tabs>
          <w:tab w:val="left" w:pos="1620"/>
        </w:tabs>
        <w:rPr>
          <w:rFonts w:ascii="Calibri" w:hAnsi="Calibri" w:cs="Calibri"/>
          <w:bCs/>
          <w:sz w:val="22"/>
          <w:szCs w:val="22"/>
        </w:rPr>
      </w:pPr>
    </w:p>
    <w:sectPr w:rsidR="00053C5F" w:rsidRPr="00BD7E96" w:rsidSect="001C14AC">
      <w:endnotePr>
        <w:numFmt w:val="decimal"/>
      </w:endnotePr>
      <w:pgSz w:w="12240" w:h="15840"/>
      <w:pgMar w:top="108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7786E"/>
    <w:multiLevelType w:val="hybridMultilevel"/>
    <w:tmpl w:val="E460D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63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FF"/>
    <w:rsid w:val="0000244A"/>
    <w:rsid w:val="0001073F"/>
    <w:rsid w:val="00015B9A"/>
    <w:rsid w:val="0003324F"/>
    <w:rsid w:val="00052110"/>
    <w:rsid w:val="00052E3C"/>
    <w:rsid w:val="00053C5F"/>
    <w:rsid w:val="000561B7"/>
    <w:rsid w:val="00057AA9"/>
    <w:rsid w:val="000730A7"/>
    <w:rsid w:val="000912DC"/>
    <w:rsid w:val="00093C20"/>
    <w:rsid w:val="000978C5"/>
    <w:rsid w:val="000A75C2"/>
    <w:rsid w:val="000B0AFA"/>
    <w:rsid w:val="000B67A4"/>
    <w:rsid w:val="000B7CD6"/>
    <w:rsid w:val="0011304B"/>
    <w:rsid w:val="0012260E"/>
    <w:rsid w:val="001265E5"/>
    <w:rsid w:val="001347E3"/>
    <w:rsid w:val="00136FA6"/>
    <w:rsid w:val="00153B52"/>
    <w:rsid w:val="00164F78"/>
    <w:rsid w:val="00165253"/>
    <w:rsid w:val="00176476"/>
    <w:rsid w:val="0019048F"/>
    <w:rsid w:val="001B5151"/>
    <w:rsid w:val="001C0F66"/>
    <w:rsid w:val="001C14AC"/>
    <w:rsid w:val="001C76D8"/>
    <w:rsid w:val="001D01AE"/>
    <w:rsid w:val="001E33AE"/>
    <w:rsid w:val="001F54E6"/>
    <w:rsid w:val="001F7E87"/>
    <w:rsid w:val="00203937"/>
    <w:rsid w:val="002172C4"/>
    <w:rsid w:val="0022187F"/>
    <w:rsid w:val="00244ADF"/>
    <w:rsid w:val="002552ED"/>
    <w:rsid w:val="00265431"/>
    <w:rsid w:val="0027679F"/>
    <w:rsid w:val="002808E2"/>
    <w:rsid w:val="002843F7"/>
    <w:rsid w:val="002A65A7"/>
    <w:rsid w:val="002B28E8"/>
    <w:rsid w:val="002F4578"/>
    <w:rsid w:val="00313F3C"/>
    <w:rsid w:val="003242D4"/>
    <w:rsid w:val="00325320"/>
    <w:rsid w:val="00335D7D"/>
    <w:rsid w:val="00337F16"/>
    <w:rsid w:val="003413CA"/>
    <w:rsid w:val="003417CF"/>
    <w:rsid w:val="003475DB"/>
    <w:rsid w:val="0036747D"/>
    <w:rsid w:val="00387423"/>
    <w:rsid w:val="00396C76"/>
    <w:rsid w:val="003B53D4"/>
    <w:rsid w:val="003D0CB6"/>
    <w:rsid w:val="003F1D3B"/>
    <w:rsid w:val="003F2E83"/>
    <w:rsid w:val="00400DFF"/>
    <w:rsid w:val="00401255"/>
    <w:rsid w:val="00406191"/>
    <w:rsid w:val="00417167"/>
    <w:rsid w:val="00417469"/>
    <w:rsid w:val="00424406"/>
    <w:rsid w:val="00432175"/>
    <w:rsid w:val="0043343C"/>
    <w:rsid w:val="00442102"/>
    <w:rsid w:val="00443FFA"/>
    <w:rsid w:val="00452ACC"/>
    <w:rsid w:val="00464DDB"/>
    <w:rsid w:val="00471B40"/>
    <w:rsid w:val="004814E6"/>
    <w:rsid w:val="00495031"/>
    <w:rsid w:val="004B235F"/>
    <w:rsid w:val="004B7E42"/>
    <w:rsid w:val="004C0009"/>
    <w:rsid w:val="00507266"/>
    <w:rsid w:val="0051637D"/>
    <w:rsid w:val="00516DB0"/>
    <w:rsid w:val="00533846"/>
    <w:rsid w:val="005377DB"/>
    <w:rsid w:val="00541C9C"/>
    <w:rsid w:val="00547F8D"/>
    <w:rsid w:val="005507BF"/>
    <w:rsid w:val="00554892"/>
    <w:rsid w:val="00555CFE"/>
    <w:rsid w:val="00560A0A"/>
    <w:rsid w:val="0056309A"/>
    <w:rsid w:val="005732A9"/>
    <w:rsid w:val="00576D9F"/>
    <w:rsid w:val="00583054"/>
    <w:rsid w:val="005C3046"/>
    <w:rsid w:val="005C38F6"/>
    <w:rsid w:val="005C7EAE"/>
    <w:rsid w:val="005E2CAE"/>
    <w:rsid w:val="00606D0A"/>
    <w:rsid w:val="00665D5F"/>
    <w:rsid w:val="00674EC0"/>
    <w:rsid w:val="00675DB2"/>
    <w:rsid w:val="006768E7"/>
    <w:rsid w:val="006820D8"/>
    <w:rsid w:val="006B587B"/>
    <w:rsid w:val="006C3179"/>
    <w:rsid w:val="006D0339"/>
    <w:rsid w:val="006F0D12"/>
    <w:rsid w:val="006F7FB7"/>
    <w:rsid w:val="007058AC"/>
    <w:rsid w:val="00707854"/>
    <w:rsid w:val="0071222E"/>
    <w:rsid w:val="00716096"/>
    <w:rsid w:val="0072051D"/>
    <w:rsid w:val="00720D39"/>
    <w:rsid w:val="00723631"/>
    <w:rsid w:val="00724849"/>
    <w:rsid w:val="00727A69"/>
    <w:rsid w:val="00730387"/>
    <w:rsid w:val="00734211"/>
    <w:rsid w:val="00740220"/>
    <w:rsid w:val="00744EE6"/>
    <w:rsid w:val="00761311"/>
    <w:rsid w:val="007968E6"/>
    <w:rsid w:val="007A20F4"/>
    <w:rsid w:val="007B4105"/>
    <w:rsid w:val="007E341C"/>
    <w:rsid w:val="007E7727"/>
    <w:rsid w:val="007F72C2"/>
    <w:rsid w:val="008012F0"/>
    <w:rsid w:val="0080360F"/>
    <w:rsid w:val="00812E3D"/>
    <w:rsid w:val="00825B90"/>
    <w:rsid w:val="00847A3D"/>
    <w:rsid w:val="00855B61"/>
    <w:rsid w:val="00856105"/>
    <w:rsid w:val="00865A88"/>
    <w:rsid w:val="00865C7A"/>
    <w:rsid w:val="0086701D"/>
    <w:rsid w:val="008743BF"/>
    <w:rsid w:val="0089117B"/>
    <w:rsid w:val="00892687"/>
    <w:rsid w:val="00892ED3"/>
    <w:rsid w:val="00892FB3"/>
    <w:rsid w:val="00897170"/>
    <w:rsid w:val="008A23FE"/>
    <w:rsid w:val="008B581E"/>
    <w:rsid w:val="008C3B4F"/>
    <w:rsid w:val="00901915"/>
    <w:rsid w:val="00910833"/>
    <w:rsid w:val="009128D3"/>
    <w:rsid w:val="00913C31"/>
    <w:rsid w:val="009147B3"/>
    <w:rsid w:val="00924709"/>
    <w:rsid w:val="00932F53"/>
    <w:rsid w:val="0093308C"/>
    <w:rsid w:val="00944F2C"/>
    <w:rsid w:val="009960A8"/>
    <w:rsid w:val="009B2504"/>
    <w:rsid w:val="009C2D85"/>
    <w:rsid w:val="009D0CDD"/>
    <w:rsid w:val="009E067E"/>
    <w:rsid w:val="009E0DA4"/>
    <w:rsid w:val="009E57C0"/>
    <w:rsid w:val="009F1492"/>
    <w:rsid w:val="009F3D3E"/>
    <w:rsid w:val="00A07C87"/>
    <w:rsid w:val="00A15ABA"/>
    <w:rsid w:val="00A26147"/>
    <w:rsid w:val="00A5365C"/>
    <w:rsid w:val="00A75124"/>
    <w:rsid w:val="00A75BB1"/>
    <w:rsid w:val="00A95F95"/>
    <w:rsid w:val="00A960CC"/>
    <w:rsid w:val="00AA28A0"/>
    <w:rsid w:val="00AA4F28"/>
    <w:rsid w:val="00AB7061"/>
    <w:rsid w:val="00AB7925"/>
    <w:rsid w:val="00AD223D"/>
    <w:rsid w:val="00AD6D03"/>
    <w:rsid w:val="00AE2BCB"/>
    <w:rsid w:val="00AE7755"/>
    <w:rsid w:val="00B00F80"/>
    <w:rsid w:val="00B02935"/>
    <w:rsid w:val="00B2281C"/>
    <w:rsid w:val="00B34152"/>
    <w:rsid w:val="00B4304D"/>
    <w:rsid w:val="00B47C05"/>
    <w:rsid w:val="00B5141C"/>
    <w:rsid w:val="00B6237C"/>
    <w:rsid w:val="00BA3B77"/>
    <w:rsid w:val="00BD7E96"/>
    <w:rsid w:val="00C111F4"/>
    <w:rsid w:val="00C4386B"/>
    <w:rsid w:val="00C53E4B"/>
    <w:rsid w:val="00C83353"/>
    <w:rsid w:val="00C91FD6"/>
    <w:rsid w:val="00CB2C0B"/>
    <w:rsid w:val="00CD56AB"/>
    <w:rsid w:val="00CE3729"/>
    <w:rsid w:val="00CE49EB"/>
    <w:rsid w:val="00CE5C73"/>
    <w:rsid w:val="00CF053A"/>
    <w:rsid w:val="00CF0905"/>
    <w:rsid w:val="00CF1BA9"/>
    <w:rsid w:val="00D20BDD"/>
    <w:rsid w:val="00D447F9"/>
    <w:rsid w:val="00D5437E"/>
    <w:rsid w:val="00D67C83"/>
    <w:rsid w:val="00D84843"/>
    <w:rsid w:val="00DB18D8"/>
    <w:rsid w:val="00DB4018"/>
    <w:rsid w:val="00DB6204"/>
    <w:rsid w:val="00DC1C40"/>
    <w:rsid w:val="00DD4F63"/>
    <w:rsid w:val="00DE0A4E"/>
    <w:rsid w:val="00E11D29"/>
    <w:rsid w:val="00E14473"/>
    <w:rsid w:val="00E20F25"/>
    <w:rsid w:val="00E30DBA"/>
    <w:rsid w:val="00E33452"/>
    <w:rsid w:val="00E4371F"/>
    <w:rsid w:val="00E43DE7"/>
    <w:rsid w:val="00E5072C"/>
    <w:rsid w:val="00E529E7"/>
    <w:rsid w:val="00E66EF8"/>
    <w:rsid w:val="00E707C3"/>
    <w:rsid w:val="00E87765"/>
    <w:rsid w:val="00EA7579"/>
    <w:rsid w:val="00EC0B79"/>
    <w:rsid w:val="00EE3DF9"/>
    <w:rsid w:val="00EF05AA"/>
    <w:rsid w:val="00EF0A95"/>
    <w:rsid w:val="00EF4D98"/>
    <w:rsid w:val="00EF5041"/>
    <w:rsid w:val="00F05823"/>
    <w:rsid w:val="00F1417B"/>
    <w:rsid w:val="00F21DF8"/>
    <w:rsid w:val="00F3511A"/>
    <w:rsid w:val="00F55A40"/>
    <w:rsid w:val="00F56900"/>
    <w:rsid w:val="00F61CB9"/>
    <w:rsid w:val="00F7202E"/>
    <w:rsid w:val="00F77F46"/>
    <w:rsid w:val="00F83200"/>
    <w:rsid w:val="00F854A7"/>
    <w:rsid w:val="00FA78DB"/>
    <w:rsid w:val="00FB3719"/>
    <w:rsid w:val="00FC42B3"/>
    <w:rsid w:val="00FD18C1"/>
    <w:rsid w:val="00FE6B47"/>
    <w:rsid w:val="00FF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EA2A2"/>
  <w15:chartTrackingRefBased/>
  <w15:docId w15:val="{B0F3C113-FCF3-436E-A63B-F6711E1C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B79"/>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rsid w:val="007968E6"/>
    <w:rPr>
      <w:rFonts w:ascii="Segoe UI" w:hAnsi="Segoe UI" w:cs="Segoe UI"/>
      <w:sz w:val="18"/>
      <w:szCs w:val="18"/>
    </w:rPr>
  </w:style>
  <w:style w:type="character" w:customStyle="1" w:styleId="BalloonTextChar">
    <w:name w:val="Balloon Text Char"/>
    <w:link w:val="BalloonText"/>
    <w:rsid w:val="007968E6"/>
    <w:rPr>
      <w:rFonts w:ascii="Segoe UI" w:hAnsi="Segoe UI" w:cs="Segoe UI"/>
      <w:sz w:val="18"/>
      <w:szCs w:val="18"/>
    </w:rPr>
  </w:style>
  <w:style w:type="character" w:styleId="CommentReference">
    <w:name w:val="annotation reference"/>
    <w:rsid w:val="00CE5C73"/>
    <w:rPr>
      <w:sz w:val="16"/>
      <w:szCs w:val="16"/>
    </w:rPr>
  </w:style>
  <w:style w:type="paragraph" w:styleId="CommentText">
    <w:name w:val="annotation text"/>
    <w:basedOn w:val="Normal"/>
    <w:link w:val="CommentTextChar"/>
    <w:uiPriority w:val="99"/>
    <w:rsid w:val="00CE5C73"/>
    <w:rPr>
      <w:sz w:val="20"/>
      <w:szCs w:val="20"/>
    </w:rPr>
  </w:style>
  <w:style w:type="character" w:customStyle="1" w:styleId="CommentTextChar">
    <w:name w:val="Comment Text Char"/>
    <w:basedOn w:val="DefaultParagraphFont"/>
    <w:link w:val="CommentText"/>
    <w:uiPriority w:val="99"/>
    <w:rsid w:val="00CE5C73"/>
  </w:style>
  <w:style w:type="paragraph" w:styleId="CommentSubject">
    <w:name w:val="annotation subject"/>
    <w:basedOn w:val="CommentText"/>
    <w:next w:val="CommentText"/>
    <w:link w:val="CommentSubjectChar"/>
    <w:rsid w:val="00CE5C73"/>
    <w:rPr>
      <w:b/>
      <w:bCs/>
    </w:rPr>
  </w:style>
  <w:style w:type="character" w:customStyle="1" w:styleId="CommentSubjectChar">
    <w:name w:val="Comment Subject Char"/>
    <w:link w:val="CommentSubject"/>
    <w:rsid w:val="00CE5C73"/>
    <w:rPr>
      <w:b/>
      <w:bCs/>
    </w:rPr>
  </w:style>
  <w:style w:type="character" w:styleId="Hyperlink">
    <w:name w:val="Hyperlink"/>
    <w:rsid w:val="00E43DE7"/>
    <w:rPr>
      <w:color w:val="467886"/>
      <w:u w:val="single"/>
    </w:rPr>
  </w:style>
  <w:style w:type="character" w:styleId="UnresolvedMention">
    <w:name w:val="Unresolved Mention"/>
    <w:uiPriority w:val="99"/>
    <w:semiHidden/>
    <w:unhideWhenUsed/>
    <w:rsid w:val="00E43DE7"/>
    <w:rPr>
      <w:color w:val="605E5C"/>
      <w:shd w:val="clear" w:color="auto" w:fill="E1DFDD"/>
    </w:rPr>
  </w:style>
  <w:style w:type="table" w:styleId="TableGrid">
    <w:name w:val="Table Grid"/>
    <w:basedOn w:val="TableNormal"/>
    <w:rsid w:val="00EC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C0B79"/>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2">
    <w:name w:val="Table Simple 2"/>
    <w:basedOn w:val="TableNormal"/>
    <w:rsid w:val="00EC0B79"/>
    <w:pPr>
      <w:widowControl w:val="0"/>
      <w:autoSpaceDE w:val="0"/>
      <w:autoSpaceDN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link w:val="ListParagraphChar"/>
    <w:uiPriority w:val="34"/>
    <w:qFormat/>
    <w:rsid w:val="0056309A"/>
    <w:pPr>
      <w:widowControl/>
      <w:autoSpaceDE/>
      <w:autoSpaceDN/>
      <w:ind w:left="720"/>
      <w:contextualSpacing/>
    </w:pPr>
    <w:rPr>
      <w:snapToGrid w:val="0"/>
      <w:szCs w:val="20"/>
    </w:rPr>
  </w:style>
  <w:style w:type="character" w:customStyle="1" w:styleId="ListParagraphChar">
    <w:name w:val="List Paragraph Char"/>
    <w:basedOn w:val="DefaultParagraphFont"/>
    <w:link w:val="ListParagraph"/>
    <w:uiPriority w:val="34"/>
    <w:rsid w:val="0056309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tyofpt.us/planning-community-development/page/now-accepting-public-comments" TargetMode="External"/><Relationship Id="rId3" Type="http://schemas.openxmlformats.org/officeDocument/2006/relationships/settings" Target="settings.xml"/><Relationship Id="rId7" Type="http://schemas.openxmlformats.org/officeDocument/2006/relationships/hyperlink" Target="https://apps.leg.wa.gov/RCW/default.aspx?cite=43.21C.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WAC/default.aspx?cite=197-11-350" TargetMode="External"/><Relationship Id="rId11" Type="http://schemas.openxmlformats.org/officeDocument/2006/relationships/theme" Target="theme/theme1.xml"/><Relationship Id="rId5" Type="http://schemas.openxmlformats.org/officeDocument/2006/relationships/hyperlink" Target="mailto:asmith@cityofpt.us"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D2D807F4245FE94934897102C4A4C"/>
        <w:category>
          <w:name w:val="General"/>
          <w:gallery w:val="placeholder"/>
        </w:category>
        <w:types>
          <w:type w:val="bbPlcHdr"/>
        </w:types>
        <w:behaviors>
          <w:behavior w:val="content"/>
        </w:behaviors>
        <w:guid w:val="{B4CAB6D8-75C1-4A42-A19D-17ADEA3B73C2}"/>
      </w:docPartPr>
      <w:docPartBody>
        <w:p w:rsidR="00F331FD" w:rsidRDefault="00F331FD" w:rsidP="00F331FD">
          <w:pPr>
            <w:pStyle w:val="BF5D2D807F4245FE94934897102C4A4C"/>
          </w:pPr>
          <w:r w:rsidRPr="008536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D"/>
    <w:rsid w:val="000A75C2"/>
    <w:rsid w:val="00F3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1FD"/>
  </w:style>
  <w:style w:type="paragraph" w:customStyle="1" w:styleId="BF5D2D807F4245FE94934897102C4A4C">
    <w:name w:val="BF5D2D807F4245FE94934897102C4A4C"/>
    <w:rsid w:val="00F33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362</Words>
  <Characters>2126</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CITY OF PORT TOWNSEND</vt:lpstr>
    </vt:vector>
  </TitlesOfParts>
  <Company>BCD-City of Port Townsend</Company>
  <LinksUpToDate>false</LinksUpToDate>
  <CharactersWithSpaces>2468</CharactersWithSpaces>
  <SharedDoc>false</SharedDoc>
  <HLinks>
    <vt:vector size="24" baseType="variant">
      <vt:variant>
        <vt:i4>5767255</vt:i4>
      </vt:variant>
      <vt:variant>
        <vt:i4>9</vt:i4>
      </vt:variant>
      <vt:variant>
        <vt:i4>0</vt:i4>
      </vt:variant>
      <vt:variant>
        <vt:i4>5</vt:i4>
      </vt:variant>
      <vt:variant>
        <vt:lpwstr>https://cityofpt.us/development-services/page/land-use-projects-under-review</vt:lpwstr>
      </vt:variant>
      <vt:variant>
        <vt:lpwstr/>
      </vt:variant>
      <vt:variant>
        <vt:i4>2031620</vt:i4>
      </vt:variant>
      <vt:variant>
        <vt:i4>6</vt:i4>
      </vt:variant>
      <vt:variant>
        <vt:i4>0</vt:i4>
      </vt:variant>
      <vt:variant>
        <vt:i4>5</vt:i4>
      </vt:variant>
      <vt:variant>
        <vt:lpwstr>https://cityofpt.us/planning-community-development/page/now-accepting-public-comments</vt:lpwstr>
      </vt:variant>
      <vt:variant>
        <vt:lpwstr/>
      </vt:variant>
      <vt:variant>
        <vt:i4>5111929</vt:i4>
      </vt:variant>
      <vt:variant>
        <vt:i4>3</vt:i4>
      </vt:variant>
      <vt:variant>
        <vt:i4>0</vt:i4>
      </vt:variant>
      <vt:variant>
        <vt:i4>5</vt:i4>
      </vt:variant>
      <vt:variant>
        <vt:lpwstr>mailto:mconnelly@cityofpt.us</vt:lpwstr>
      </vt:variant>
      <vt:variant>
        <vt:lpwstr/>
      </vt:variant>
      <vt:variant>
        <vt:i4>2949150</vt:i4>
      </vt:variant>
      <vt:variant>
        <vt:i4>0</vt:i4>
      </vt:variant>
      <vt:variant>
        <vt:i4>0</vt:i4>
      </vt:variant>
      <vt:variant>
        <vt:i4>5</vt:i4>
      </vt:variant>
      <vt:variant>
        <vt:lpwstr>mailto:asmith@cityofpt.us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TOWNSEND</dc:title>
  <dc:subject/>
  <dc:creator>Carol J. Wilson-Comm. Dev. Specialist</dc:creator>
  <cp:keywords/>
  <cp:lastModifiedBy>Adrian Smith</cp:lastModifiedBy>
  <cp:revision>4</cp:revision>
  <cp:lastPrinted>2023-04-11T17:42:00Z</cp:lastPrinted>
  <dcterms:created xsi:type="dcterms:W3CDTF">2026-04-30T18:01:00Z</dcterms:created>
  <dcterms:modified xsi:type="dcterms:W3CDTF">2026-05-06T20:20:00Z</dcterms:modified>
</cp:coreProperties>
</file>